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648C" w14:textId="391FE4D6" w:rsidR="00B14E74" w:rsidRDefault="00000AA5">
      <w:pPr>
        <w:rPr>
          <w:rStyle w:val="Emphasis"/>
          <w:rFonts w:ascii="Arial" w:hAnsi="Arial" w:cs="Arial"/>
          <w:b/>
          <w:i w:val="0"/>
          <w:lang w:val="en"/>
        </w:rPr>
      </w:pPr>
      <w:r w:rsidRPr="00000AA5">
        <w:rPr>
          <w:rStyle w:val="Emphasis"/>
          <w:rFonts w:ascii="Arial" w:hAnsi="Arial" w:cs="Arial"/>
          <w:b/>
          <w:i w:val="0"/>
          <w:lang w:val="en"/>
        </w:rPr>
        <w:t>London Borough of Barnet</w:t>
      </w:r>
      <w:r w:rsidR="00013218">
        <w:rPr>
          <w:rStyle w:val="Emphasis"/>
          <w:rFonts w:ascii="Arial" w:hAnsi="Arial" w:cs="Arial"/>
          <w:b/>
          <w:i w:val="0"/>
          <w:lang w:val="en"/>
        </w:rPr>
        <w:t xml:space="preserve"> Pension Fund (the Fund)</w:t>
      </w:r>
    </w:p>
    <w:p w14:paraId="64F9A186" w14:textId="18B721E9" w:rsidR="00000AA5" w:rsidRDefault="00000AA5">
      <w:pPr>
        <w:rPr>
          <w:rStyle w:val="Emphasis"/>
          <w:rFonts w:ascii="Arial" w:hAnsi="Arial" w:cs="Arial"/>
          <w:b/>
          <w:i w:val="0"/>
          <w:lang w:val="en"/>
        </w:rPr>
      </w:pPr>
      <w:r>
        <w:rPr>
          <w:rStyle w:val="Emphasis"/>
          <w:rFonts w:ascii="Arial" w:hAnsi="Arial" w:cs="Arial"/>
          <w:b/>
          <w:i w:val="0"/>
          <w:lang w:val="en"/>
        </w:rPr>
        <w:t>FoI Disclosures for Alternative and Private Funds</w:t>
      </w:r>
    </w:p>
    <w:p w14:paraId="4651DF6F" w14:textId="6653A1D9" w:rsidR="00000AA5" w:rsidRPr="00000AA5" w:rsidRDefault="00000AA5">
      <w:pPr>
        <w:rPr>
          <w:rStyle w:val="Emphasis"/>
          <w:rFonts w:ascii="Arial" w:hAnsi="Arial" w:cs="Arial"/>
          <w:bCs/>
          <w:i w:val="0"/>
          <w:u w:val="single"/>
          <w:lang w:val="en"/>
        </w:rPr>
      </w:pPr>
      <w:r w:rsidRPr="00000AA5">
        <w:rPr>
          <w:rStyle w:val="Emphasis"/>
          <w:rFonts w:ascii="Arial" w:hAnsi="Arial" w:cs="Arial"/>
          <w:bCs/>
          <w:i w:val="0"/>
          <w:u w:val="single"/>
          <w:lang w:val="en"/>
        </w:rPr>
        <w:t>Introduction</w:t>
      </w:r>
    </w:p>
    <w:p w14:paraId="3174EF14" w14:textId="553C264D" w:rsidR="00000AA5" w:rsidRDefault="00000AA5">
      <w:pPr>
        <w:rPr>
          <w:rStyle w:val="Emphasis"/>
          <w:rFonts w:ascii="Arial" w:hAnsi="Arial" w:cs="Arial"/>
          <w:bCs/>
          <w:i w:val="0"/>
          <w:lang w:val="en"/>
        </w:rPr>
      </w:pPr>
      <w:r w:rsidRPr="00000AA5">
        <w:rPr>
          <w:rStyle w:val="Emphasis"/>
          <w:rFonts w:ascii="Arial" w:hAnsi="Arial" w:cs="Arial"/>
          <w:bCs/>
          <w:i w:val="0"/>
          <w:lang w:val="en"/>
        </w:rPr>
        <w:t xml:space="preserve">Disclosure is </w:t>
      </w:r>
      <w:r>
        <w:rPr>
          <w:rStyle w:val="Emphasis"/>
          <w:rFonts w:ascii="Arial" w:hAnsi="Arial" w:cs="Arial"/>
          <w:bCs/>
          <w:i w:val="0"/>
          <w:lang w:val="en"/>
        </w:rPr>
        <w:t xml:space="preserve">made of the information </w:t>
      </w:r>
      <w:r w:rsidR="00BE1B30">
        <w:rPr>
          <w:rStyle w:val="Emphasis"/>
          <w:rFonts w:ascii="Arial" w:hAnsi="Arial" w:cs="Arial"/>
          <w:bCs/>
          <w:i w:val="0"/>
          <w:lang w:val="en"/>
        </w:rPr>
        <w:t xml:space="preserve">typically </w:t>
      </w:r>
      <w:r>
        <w:rPr>
          <w:rStyle w:val="Emphasis"/>
          <w:rFonts w:ascii="Arial" w:hAnsi="Arial" w:cs="Arial"/>
          <w:bCs/>
          <w:i w:val="0"/>
          <w:lang w:val="en"/>
        </w:rPr>
        <w:t xml:space="preserve">requested under FoI for alternative and private funds.  </w:t>
      </w:r>
    </w:p>
    <w:p w14:paraId="511701AD" w14:textId="3E83B40B" w:rsidR="00000AA5" w:rsidRPr="00000AA5" w:rsidRDefault="00000AA5">
      <w:pPr>
        <w:rPr>
          <w:rStyle w:val="Emphasis"/>
          <w:rFonts w:ascii="Arial" w:hAnsi="Arial" w:cs="Arial"/>
          <w:bCs/>
          <w:i w:val="0"/>
          <w:u w:val="single"/>
          <w:lang w:val="en"/>
        </w:rPr>
      </w:pPr>
      <w:r w:rsidRPr="00000AA5">
        <w:rPr>
          <w:rStyle w:val="Emphasis"/>
          <w:rFonts w:ascii="Arial" w:hAnsi="Arial" w:cs="Arial"/>
          <w:bCs/>
          <w:i w:val="0"/>
          <w:u w:val="single"/>
          <w:lang w:val="en"/>
        </w:rPr>
        <w:t>Exception</w:t>
      </w:r>
    </w:p>
    <w:p w14:paraId="5D9EE8A1" w14:textId="7CC884BC" w:rsidR="00000AA5" w:rsidRPr="00000AA5" w:rsidRDefault="00000AA5">
      <w:pPr>
        <w:rPr>
          <w:rStyle w:val="Emphasis"/>
          <w:rFonts w:ascii="Arial" w:hAnsi="Arial" w:cs="Arial"/>
          <w:bCs/>
          <w:i w:val="0"/>
          <w:lang w:val="en"/>
        </w:rPr>
      </w:pPr>
      <w:r>
        <w:rPr>
          <w:rStyle w:val="Emphasis"/>
          <w:rFonts w:ascii="Arial" w:hAnsi="Arial" w:cs="Arial"/>
          <w:bCs/>
          <w:i w:val="0"/>
          <w:lang w:val="en"/>
        </w:rPr>
        <w:t xml:space="preserve">Disclosure is made for all relevant funds </w:t>
      </w:r>
      <w:r w:rsidR="00013218">
        <w:rPr>
          <w:rStyle w:val="Emphasis"/>
          <w:rFonts w:ascii="Arial" w:hAnsi="Arial" w:cs="Arial"/>
          <w:bCs/>
          <w:i w:val="0"/>
          <w:lang w:val="en"/>
        </w:rPr>
        <w:t>except for</w:t>
      </w:r>
      <w:r>
        <w:rPr>
          <w:rStyle w:val="Emphasis"/>
          <w:rFonts w:ascii="Arial" w:hAnsi="Arial" w:cs="Arial"/>
          <w:bCs/>
          <w:i w:val="0"/>
          <w:lang w:val="en"/>
        </w:rPr>
        <w:t xml:space="preserve"> </w:t>
      </w:r>
    </w:p>
    <w:p w14:paraId="5E447E1E" w14:textId="2426019C" w:rsidR="00000AA5" w:rsidRPr="001B4FC8" w:rsidRDefault="00000AA5" w:rsidP="00000AA5">
      <w:pPr>
        <w:ind w:left="720"/>
        <w:rPr>
          <w:rFonts w:ascii="Arial" w:hAnsi="Arial" w:cs="Arial"/>
        </w:rPr>
      </w:pPr>
      <w:r w:rsidRPr="001B4FC8">
        <w:rPr>
          <w:rFonts w:ascii="Arial" w:hAnsi="Arial" w:cs="Arial"/>
        </w:rPr>
        <w:t>Partners Group Private Markets Credit Strategies S.A. - Compartment Mul</w:t>
      </w:r>
      <w:r w:rsidR="00013218">
        <w:rPr>
          <w:rFonts w:ascii="Arial" w:hAnsi="Arial" w:cs="Arial"/>
        </w:rPr>
        <w:t>ti</w:t>
      </w:r>
      <w:r w:rsidRPr="001B4FC8">
        <w:rPr>
          <w:rFonts w:ascii="Arial" w:hAnsi="Arial" w:cs="Arial"/>
        </w:rPr>
        <w:t xml:space="preserve"> Asset Credit 2015 (II) GBP</w:t>
      </w:r>
    </w:p>
    <w:p w14:paraId="5BF39097" w14:textId="7D608690" w:rsidR="00000AA5" w:rsidRPr="001B4FC8" w:rsidRDefault="001B4FC8" w:rsidP="00000AA5">
      <w:pPr>
        <w:ind w:left="720"/>
        <w:rPr>
          <w:rFonts w:ascii="Arial" w:hAnsi="Arial" w:cs="Arial"/>
        </w:rPr>
      </w:pPr>
      <w:r w:rsidRPr="001B4FC8">
        <w:rPr>
          <w:rFonts w:ascii="Arial" w:hAnsi="Arial" w:cs="Arial"/>
        </w:rPr>
        <w:t>Partners Group Private Markets Credit Strategies 2 S.A. - Compartment Mul</w:t>
      </w:r>
      <w:r w:rsidR="00013218">
        <w:rPr>
          <w:rFonts w:ascii="Arial" w:hAnsi="Arial" w:cs="Arial"/>
        </w:rPr>
        <w:t>ti</w:t>
      </w:r>
      <w:r w:rsidRPr="001B4FC8">
        <w:rPr>
          <w:rFonts w:ascii="Arial" w:hAnsi="Arial" w:cs="Arial"/>
        </w:rPr>
        <w:t xml:space="preserve"> Asset Credit 2017 (IV) GBP</w:t>
      </w:r>
    </w:p>
    <w:p w14:paraId="10EFB54F" w14:textId="12FC4B28" w:rsidR="001B4FC8" w:rsidRDefault="001B4FC8" w:rsidP="00000AA5">
      <w:pPr>
        <w:ind w:left="720"/>
        <w:rPr>
          <w:rFonts w:ascii="Arial" w:hAnsi="Arial" w:cs="Arial"/>
        </w:rPr>
      </w:pPr>
      <w:r w:rsidRPr="001B4FC8">
        <w:rPr>
          <w:rFonts w:ascii="Arial" w:hAnsi="Arial" w:cs="Arial"/>
        </w:rPr>
        <w:t>Partners Group Mul</w:t>
      </w:r>
      <w:r>
        <w:rPr>
          <w:rFonts w:ascii="Arial" w:hAnsi="Arial" w:cs="Arial"/>
        </w:rPr>
        <w:t>ti</w:t>
      </w:r>
      <w:r w:rsidRPr="001B4FC8">
        <w:rPr>
          <w:rFonts w:ascii="Arial" w:hAnsi="Arial" w:cs="Arial"/>
        </w:rPr>
        <w:t xml:space="preserve"> Asset Credit V S.C.A., SICAV-RAIF</w:t>
      </w:r>
    </w:p>
    <w:p w14:paraId="6A708D0A" w14:textId="2C3E938F" w:rsidR="00013218" w:rsidRPr="00013218" w:rsidRDefault="00013218" w:rsidP="00013218">
      <w:pPr>
        <w:rPr>
          <w:rStyle w:val="Emphasis"/>
          <w:rFonts w:ascii="Arial" w:hAnsi="Arial" w:cs="Arial"/>
          <w:i w:val="0"/>
          <w:iCs w:val="0"/>
          <w:lang w:val="en"/>
        </w:rPr>
      </w:pPr>
      <w:r>
        <w:rPr>
          <w:rStyle w:val="Emphasis"/>
          <w:rFonts w:ascii="Arial" w:hAnsi="Arial" w:cs="Arial"/>
          <w:i w:val="0"/>
          <w:iCs w:val="0"/>
          <w:lang w:val="en"/>
        </w:rPr>
        <w:t>See below for basis of FoI exceptions</w:t>
      </w:r>
    </w:p>
    <w:p w14:paraId="70A0BF7E" w14:textId="1D2A94BD" w:rsidR="00013218" w:rsidRPr="00013218" w:rsidRDefault="00013218" w:rsidP="00013218">
      <w:pPr>
        <w:rPr>
          <w:rStyle w:val="Emphasis"/>
          <w:rFonts w:ascii="Arial" w:hAnsi="Arial" w:cs="Arial"/>
          <w:b/>
          <w:bCs/>
          <w:i w:val="0"/>
          <w:iCs w:val="0"/>
          <w:lang w:val="en"/>
        </w:rPr>
      </w:pPr>
      <w:r w:rsidRPr="00013218">
        <w:rPr>
          <w:rStyle w:val="Emphasis"/>
          <w:rFonts w:ascii="Arial" w:hAnsi="Arial" w:cs="Arial"/>
          <w:b/>
          <w:bCs/>
          <w:i w:val="0"/>
          <w:iCs w:val="0"/>
          <w:lang w:val="en"/>
        </w:rPr>
        <w:t>Information Requests</w:t>
      </w:r>
    </w:p>
    <w:p w14:paraId="1C0FE60F" w14:textId="312C9792" w:rsidR="00013218" w:rsidRDefault="00013218" w:rsidP="00013218">
      <w:pPr>
        <w:rPr>
          <w:rStyle w:val="Emphasis"/>
          <w:rFonts w:ascii="Arial" w:hAnsi="Arial" w:cs="Arial"/>
          <w:i w:val="0"/>
          <w:iCs w:val="0"/>
          <w:lang w:val="en"/>
        </w:rPr>
      </w:pPr>
      <w:r w:rsidRPr="00013218">
        <w:rPr>
          <w:rStyle w:val="Emphasis"/>
          <w:rFonts w:ascii="Arial" w:hAnsi="Arial" w:cs="Arial"/>
          <w:i w:val="0"/>
          <w:iCs w:val="0"/>
          <w:lang w:val="en"/>
        </w:rPr>
        <w:t>1. Names and vintage years of all private equity, venture capital, mezzanine, distressed, real estate/REIT, debt</w:t>
      </w:r>
      <w:r w:rsidR="00BE1B30">
        <w:rPr>
          <w:rStyle w:val="Emphasis"/>
          <w:rFonts w:ascii="Arial" w:hAnsi="Arial" w:cs="Arial"/>
          <w:i w:val="0"/>
          <w:iCs w:val="0"/>
          <w:lang w:val="en"/>
        </w:rPr>
        <w:t xml:space="preserve">, </w:t>
      </w:r>
      <w:r w:rsidRPr="00013218">
        <w:rPr>
          <w:rStyle w:val="Emphasis"/>
          <w:rFonts w:ascii="Arial" w:hAnsi="Arial" w:cs="Arial"/>
          <w:i w:val="0"/>
          <w:iCs w:val="0"/>
          <w:lang w:val="en"/>
        </w:rPr>
        <w:t>infrastructure</w:t>
      </w:r>
      <w:r w:rsidR="00BE1B30">
        <w:rPr>
          <w:rStyle w:val="Emphasis"/>
          <w:rFonts w:ascii="Arial" w:hAnsi="Arial" w:cs="Arial"/>
          <w:i w:val="0"/>
          <w:iCs w:val="0"/>
          <w:lang w:val="en"/>
        </w:rPr>
        <w:t xml:space="preserve"> </w:t>
      </w:r>
      <w:r w:rsidRPr="00013218">
        <w:rPr>
          <w:rStyle w:val="Emphasis"/>
          <w:rFonts w:ascii="Arial" w:hAnsi="Arial" w:cs="Arial"/>
          <w:i w:val="0"/>
          <w:iCs w:val="0"/>
          <w:lang w:val="en"/>
        </w:rPr>
        <w:t xml:space="preserve"> </w:t>
      </w:r>
      <w:r w:rsidR="00BE1B30">
        <w:rPr>
          <w:rStyle w:val="Emphasis"/>
          <w:rFonts w:ascii="Arial" w:hAnsi="Arial" w:cs="Arial"/>
          <w:i w:val="0"/>
          <w:iCs w:val="0"/>
          <w:lang w:val="en"/>
        </w:rPr>
        <w:t xml:space="preserve">and hedge funds / </w:t>
      </w:r>
      <w:r w:rsidRPr="00013218">
        <w:rPr>
          <w:rStyle w:val="Emphasis"/>
          <w:rFonts w:ascii="Arial" w:hAnsi="Arial" w:cs="Arial"/>
          <w:i w:val="0"/>
          <w:iCs w:val="0"/>
          <w:lang w:val="en"/>
        </w:rPr>
        <w:t xml:space="preserve">partnerships in </w:t>
      </w:r>
      <w:r w:rsidR="005F2EBF">
        <w:rPr>
          <w:rStyle w:val="Emphasis"/>
          <w:rFonts w:ascii="Arial" w:hAnsi="Arial" w:cs="Arial"/>
          <w:i w:val="0"/>
          <w:iCs w:val="0"/>
          <w:lang w:val="en"/>
        </w:rPr>
        <w:t>the Fund’s</w:t>
      </w:r>
      <w:r w:rsidRPr="00013218">
        <w:rPr>
          <w:rStyle w:val="Emphasis"/>
          <w:rFonts w:ascii="Arial" w:hAnsi="Arial" w:cs="Arial"/>
          <w:i w:val="0"/>
          <w:iCs w:val="0"/>
          <w:lang w:val="en"/>
        </w:rPr>
        <w:t xml:space="preserve"> portfolio. </w:t>
      </w:r>
    </w:p>
    <w:p w14:paraId="4ED74530" w14:textId="77777777" w:rsidR="00B0593B" w:rsidRDefault="00B0593B" w:rsidP="00B0593B">
      <w:pPr>
        <w:rPr>
          <w:rStyle w:val="Emphasis"/>
          <w:rFonts w:ascii="Arial" w:hAnsi="Arial" w:cs="Arial"/>
          <w:i w:val="0"/>
          <w:lang w:val="en"/>
        </w:rPr>
      </w:pPr>
      <w:r>
        <w:rPr>
          <w:rStyle w:val="Emphasis"/>
          <w:rFonts w:ascii="Arial" w:hAnsi="Arial" w:cs="Arial"/>
          <w:i w:val="0"/>
          <w:lang w:val="en"/>
        </w:rPr>
        <w:t>The names of the funds that fall within the request are:</w:t>
      </w:r>
    </w:p>
    <w:p w14:paraId="338629FD" w14:textId="77777777" w:rsidR="00B0593B" w:rsidRDefault="00B0593B" w:rsidP="00B0593B">
      <w:pPr>
        <w:pStyle w:val="NoSpacing"/>
        <w:rPr>
          <w:rStyle w:val="Emphasis"/>
          <w:rFonts w:ascii="Arial" w:hAnsi="Arial" w:cs="Arial"/>
          <w:i w:val="0"/>
          <w:lang w:val="en"/>
        </w:rPr>
      </w:pPr>
    </w:p>
    <w:p w14:paraId="3D05A9CC"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IFM Global Infrastructure (UK) B, L.P (2017)</w:t>
      </w:r>
    </w:p>
    <w:p w14:paraId="1D4FDD9D"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Alcentra European Direct Lending Fund II (2016)</w:t>
      </w:r>
    </w:p>
    <w:p w14:paraId="1BF59618"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IIFIG Secured Finance Fund (2017)</w:t>
      </w:r>
    </w:p>
    <w:p w14:paraId="378BEA31"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Partners Group Private Market Credit Strategies – Multi-Asset Credit 2015</w:t>
      </w:r>
    </w:p>
    <w:p w14:paraId="0DA41A9E"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Partners Group Private Market Credit Strategies – Multi-Asset Credit 2017</w:t>
      </w:r>
    </w:p>
    <w:p w14:paraId="6B9DD771"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Partners Group Multi</w:t>
      </w:r>
      <w:r w:rsidRPr="00C5707C">
        <w:rPr>
          <w:rStyle w:val="Emphasis"/>
          <w:rFonts w:ascii="Arial" w:hAnsi="Arial" w:cs="Arial"/>
          <w:sz w:val="24"/>
          <w:szCs w:val="24"/>
          <w:lang w:val="en"/>
        </w:rPr>
        <w:t xml:space="preserve"> </w:t>
      </w:r>
      <w:r w:rsidRPr="00C5707C">
        <w:rPr>
          <w:rStyle w:val="Emphasis"/>
          <w:rFonts w:ascii="Arial" w:hAnsi="Arial" w:cs="Arial"/>
          <w:i w:val="0"/>
          <w:sz w:val="24"/>
          <w:szCs w:val="24"/>
          <w:lang w:val="en"/>
        </w:rPr>
        <w:t>Asset Credit V S.C.A., SICAV-RAIF (2019)</w:t>
      </w:r>
    </w:p>
    <w:p w14:paraId="215F0529"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CBRE Global Alpha Property Fund</w:t>
      </w:r>
    </w:p>
    <w:p w14:paraId="5555BA27" w14:textId="77777777"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Aberdeen Standard Long Lease Property Fund</w:t>
      </w:r>
    </w:p>
    <w:p w14:paraId="54D35637" w14:textId="1CF3264C" w:rsidR="00B0593B" w:rsidRDefault="00B0593B" w:rsidP="00B0593B">
      <w:pPr>
        <w:pStyle w:val="NoSpacing"/>
        <w:numPr>
          <w:ilvl w:val="0"/>
          <w:numId w:val="4"/>
        </w:numPr>
        <w:rPr>
          <w:rStyle w:val="Emphasis"/>
          <w:rFonts w:ascii="Arial" w:hAnsi="Arial" w:cs="Arial"/>
          <w:i w:val="0"/>
          <w:sz w:val="24"/>
          <w:szCs w:val="24"/>
          <w:lang w:val="en"/>
        </w:rPr>
      </w:pPr>
      <w:r w:rsidRPr="00C5707C">
        <w:rPr>
          <w:rStyle w:val="Emphasis"/>
          <w:rFonts w:ascii="Arial" w:hAnsi="Arial" w:cs="Arial"/>
          <w:i w:val="0"/>
          <w:sz w:val="24"/>
          <w:szCs w:val="24"/>
          <w:lang w:val="en"/>
        </w:rPr>
        <w:t>Adams Street 2019 Global Fund</w:t>
      </w:r>
    </w:p>
    <w:p w14:paraId="3710EC94" w14:textId="65D76E6B" w:rsidR="00905D9B" w:rsidRDefault="00905D9B" w:rsidP="00B0593B">
      <w:pPr>
        <w:pStyle w:val="NoSpacing"/>
        <w:numPr>
          <w:ilvl w:val="0"/>
          <w:numId w:val="4"/>
        </w:numPr>
        <w:rPr>
          <w:rStyle w:val="Emphasis"/>
          <w:rFonts w:ascii="Arial" w:hAnsi="Arial" w:cs="Arial"/>
          <w:i w:val="0"/>
          <w:sz w:val="24"/>
          <w:szCs w:val="24"/>
          <w:lang w:val="en"/>
        </w:rPr>
      </w:pPr>
      <w:r>
        <w:rPr>
          <w:rStyle w:val="Emphasis"/>
          <w:rFonts w:ascii="Arial" w:hAnsi="Arial" w:cs="Arial"/>
          <w:i w:val="0"/>
          <w:sz w:val="24"/>
          <w:szCs w:val="24"/>
          <w:lang w:val="en"/>
        </w:rPr>
        <w:t>Adams Street Global Secondary Fund 7</w:t>
      </w:r>
    </w:p>
    <w:p w14:paraId="138078DC" w14:textId="1A613B29" w:rsidR="00B0593B" w:rsidRDefault="00B0593B" w:rsidP="00B0593B">
      <w:pPr>
        <w:pStyle w:val="NoSpacing"/>
        <w:numPr>
          <w:ilvl w:val="0"/>
          <w:numId w:val="4"/>
        </w:numPr>
        <w:rPr>
          <w:rStyle w:val="Emphasis"/>
          <w:rFonts w:ascii="Arial" w:hAnsi="Arial" w:cs="Arial"/>
          <w:i w:val="0"/>
          <w:sz w:val="24"/>
          <w:szCs w:val="24"/>
          <w:lang w:val="en"/>
        </w:rPr>
      </w:pPr>
      <w:r>
        <w:rPr>
          <w:rStyle w:val="Emphasis"/>
          <w:rFonts w:ascii="Arial" w:hAnsi="Arial" w:cs="Arial"/>
          <w:i w:val="0"/>
          <w:sz w:val="24"/>
          <w:szCs w:val="24"/>
          <w:lang w:val="en"/>
        </w:rPr>
        <w:t>LCIV</w:t>
      </w:r>
      <w:r w:rsidR="004B4C28">
        <w:rPr>
          <w:rStyle w:val="Emphasis"/>
          <w:rFonts w:ascii="Arial" w:hAnsi="Arial" w:cs="Arial"/>
          <w:i w:val="0"/>
          <w:sz w:val="24"/>
          <w:szCs w:val="24"/>
          <w:lang w:val="en"/>
        </w:rPr>
        <w:t xml:space="preserve"> Private Debt (2021)</w:t>
      </w:r>
    </w:p>
    <w:p w14:paraId="1F2756BC" w14:textId="386A3005" w:rsidR="004B4C28" w:rsidRPr="00C5707C" w:rsidRDefault="004B4C28" w:rsidP="00B0593B">
      <w:pPr>
        <w:pStyle w:val="NoSpacing"/>
        <w:numPr>
          <w:ilvl w:val="0"/>
          <w:numId w:val="4"/>
        </w:numPr>
        <w:rPr>
          <w:rStyle w:val="Emphasis"/>
          <w:rFonts w:ascii="Arial" w:hAnsi="Arial" w:cs="Arial"/>
          <w:i w:val="0"/>
          <w:sz w:val="24"/>
          <w:szCs w:val="24"/>
          <w:lang w:val="en"/>
        </w:rPr>
      </w:pPr>
      <w:r>
        <w:rPr>
          <w:rStyle w:val="Emphasis"/>
          <w:rFonts w:ascii="Arial" w:hAnsi="Arial" w:cs="Arial"/>
          <w:i w:val="0"/>
          <w:sz w:val="24"/>
          <w:szCs w:val="24"/>
          <w:lang w:val="en"/>
        </w:rPr>
        <w:t>LCIV Renewables Infrastructure (2021)</w:t>
      </w:r>
    </w:p>
    <w:p w14:paraId="24763ED8" w14:textId="78EDAF3E"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2. Commitments made to each partnership. </w:t>
      </w:r>
    </w:p>
    <w:p w14:paraId="5749023C" w14:textId="77777777" w:rsidR="005F2EBF" w:rsidRDefault="005F2EBF" w:rsidP="005F2EBF">
      <w:pPr>
        <w:ind w:firstLine="720"/>
        <w:rPr>
          <w:rFonts w:ascii="Arial" w:hAnsi="Arial" w:cs="Arial"/>
          <w:lang w:val="en"/>
        </w:rPr>
      </w:pPr>
      <w:r>
        <w:rPr>
          <w:rStyle w:val="Emphasis"/>
          <w:rFonts w:ascii="Arial" w:hAnsi="Arial" w:cs="Arial"/>
          <w:i w:val="0"/>
          <w:iCs w:val="0"/>
          <w:lang w:val="en"/>
        </w:rPr>
        <w:tab/>
      </w:r>
      <w:r>
        <w:rPr>
          <w:rFonts w:ascii="Arial" w:hAnsi="Arial" w:cs="Arial"/>
          <w:lang w:val="en"/>
        </w:rPr>
        <w:t>See spreadsheet.</w:t>
      </w:r>
    </w:p>
    <w:p w14:paraId="5F309158" w14:textId="77777777"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3. Contributions drawn down since inception. </w:t>
      </w:r>
    </w:p>
    <w:p w14:paraId="0CDFE5F2" w14:textId="77777777" w:rsidR="005F2EBF" w:rsidRDefault="005F2EBF" w:rsidP="005F2EBF">
      <w:pPr>
        <w:ind w:firstLine="720"/>
        <w:rPr>
          <w:rFonts w:ascii="Arial" w:hAnsi="Arial" w:cs="Arial"/>
          <w:lang w:val="en"/>
        </w:rPr>
      </w:pPr>
      <w:r>
        <w:rPr>
          <w:rFonts w:ascii="Arial" w:hAnsi="Arial" w:cs="Arial"/>
          <w:lang w:val="en"/>
        </w:rPr>
        <w:tab/>
        <w:t>See spreadsheet.</w:t>
      </w:r>
    </w:p>
    <w:p w14:paraId="1AC9767B" w14:textId="15A09616"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4. Distributions made to </w:t>
      </w:r>
      <w:r w:rsidR="005F2EBF">
        <w:rPr>
          <w:rStyle w:val="Emphasis"/>
          <w:rFonts w:ascii="Arial" w:hAnsi="Arial" w:cs="Arial"/>
          <w:i w:val="0"/>
          <w:iCs w:val="0"/>
          <w:lang w:val="en"/>
        </w:rPr>
        <w:t xml:space="preserve">the Fund </w:t>
      </w:r>
      <w:r w:rsidRPr="00013218">
        <w:rPr>
          <w:rStyle w:val="Emphasis"/>
          <w:rFonts w:ascii="Arial" w:hAnsi="Arial" w:cs="Arial"/>
          <w:i w:val="0"/>
          <w:iCs w:val="0"/>
          <w:lang w:val="en"/>
        </w:rPr>
        <w:t xml:space="preserve">to date by each individual partnership. </w:t>
      </w:r>
    </w:p>
    <w:p w14:paraId="54C8A494" w14:textId="77777777" w:rsidR="005F2EBF" w:rsidRDefault="005F2EBF" w:rsidP="005F2EBF">
      <w:pPr>
        <w:ind w:firstLine="720"/>
        <w:rPr>
          <w:rFonts w:ascii="Arial" w:hAnsi="Arial" w:cs="Arial"/>
          <w:lang w:val="en"/>
        </w:rPr>
      </w:pPr>
      <w:r>
        <w:rPr>
          <w:rStyle w:val="Emphasis"/>
          <w:rFonts w:ascii="Arial" w:hAnsi="Arial" w:cs="Arial"/>
          <w:i w:val="0"/>
          <w:iCs w:val="0"/>
          <w:lang w:val="en"/>
        </w:rPr>
        <w:tab/>
      </w:r>
      <w:r>
        <w:rPr>
          <w:rFonts w:ascii="Arial" w:hAnsi="Arial" w:cs="Arial"/>
          <w:lang w:val="en"/>
        </w:rPr>
        <w:t>See spreadsheet.</w:t>
      </w:r>
    </w:p>
    <w:p w14:paraId="6701254B" w14:textId="551F7950" w:rsidR="00013218" w:rsidRDefault="00013218" w:rsidP="00013218">
      <w:pPr>
        <w:rPr>
          <w:rStyle w:val="Emphasis"/>
          <w:rFonts w:ascii="Arial" w:hAnsi="Arial" w:cs="Arial"/>
          <w:i w:val="0"/>
          <w:iCs w:val="0"/>
          <w:lang w:val="en"/>
        </w:rPr>
      </w:pPr>
      <w:r w:rsidRPr="00013218">
        <w:rPr>
          <w:rFonts w:ascii="Arial" w:hAnsi="Arial" w:cs="Arial"/>
          <w:i/>
          <w:iCs/>
          <w:lang w:val="en"/>
        </w:rPr>
        <w:lastRenderedPageBreak/>
        <w:br/>
      </w:r>
      <w:r w:rsidRPr="00013218">
        <w:rPr>
          <w:rStyle w:val="Emphasis"/>
          <w:rFonts w:ascii="Arial" w:hAnsi="Arial" w:cs="Arial"/>
          <w:i w:val="0"/>
          <w:iCs w:val="0"/>
          <w:lang w:val="en"/>
        </w:rPr>
        <w:t xml:space="preserve">5. Net Asset Value of each partnership. </w:t>
      </w:r>
    </w:p>
    <w:p w14:paraId="7EEF8CF6" w14:textId="77777777" w:rsidR="00223B4A" w:rsidRDefault="00223B4A" w:rsidP="00223B4A">
      <w:pPr>
        <w:ind w:left="720" w:firstLine="720"/>
        <w:rPr>
          <w:rFonts w:ascii="Arial" w:hAnsi="Arial" w:cs="Arial"/>
          <w:lang w:val="en"/>
        </w:rPr>
      </w:pPr>
      <w:r>
        <w:rPr>
          <w:rFonts w:ascii="Arial" w:hAnsi="Arial" w:cs="Arial"/>
          <w:lang w:val="en"/>
        </w:rPr>
        <w:t>See spreadsheet.</w:t>
      </w:r>
    </w:p>
    <w:p w14:paraId="59CAA1A7" w14:textId="7452FAED"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6. Internal rates of return (IRRs) for each partnership with and without the use of credit facility. Please note if the IRRs are not net. </w:t>
      </w:r>
    </w:p>
    <w:p w14:paraId="4A0D3273" w14:textId="1EDD8666" w:rsidR="00B0593B" w:rsidRDefault="00B0593B" w:rsidP="00B0593B">
      <w:pPr>
        <w:ind w:firstLine="720"/>
        <w:rPr>
          <w:rFonts w:ascii="Arial" w:hAnsi="Arial" w:cs="Arial"/>
          <w:lang w:val="en"/>
        </w:rPr>
      </w:pPr>
      <w:r>
        <w:rPr>
          <w:rStyle w:val="Emphasis"/>
          <w:rFonts w:ascii="Arial" w:hAnsi="Arial" w:cs="Arial"/>
          <w:i w:val="0"/>
          <w:iCs w:val="0"/>
          <w:lang w:val="en"/>
        </w:rPr>
        <w:tab/>
      </w:r>
      <w:r>
        <w:rPr>
          <w:rFonts w:ascii="Arial" w:hAnsi="Arial" w:cs="Arial"/>
          <w:lang w:val="en"/>
        </w:rPr>
        <w:t>See spreadsheet.</w:t>
      </w:r>
    </w:p>
    <w:p w14:paraId="52DFD041" w14:textId="77777777" w:rsidR="00B0593B" w:rsidRDefault="00B0593B" w:rsidP="00013218">
      <w:pPr>
        <w:rPr>
          <w:rFonts w:ascii="Arial" w:hAnsi="Arial" w:cs="Arial"/>
          <w:i/>
          <w:iCs/>
          <w:lang w:val="en"/>
        </w:rPr>
      </w:pPr>
    </w:p>
    <w:p w14:paraId="52E0CA51" w14:textId="76B9D9A7"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7. Investment multiple (TV/PI) for each individual partnership. </w:t>
      </w:r>
    </w:p>
    <w:p w14:paraId="1637F97E" w14:textId="77777777" w:rsidR="00B0593B" w:rsidRDefault="00B0593B" w:rsidP="00B0593B">
      <w:pPr>
        <w:ind w:firstLine="720"/>
        <w:rPr>
          <w:rFonts w:ascii="Arial" w:hAnsi="Arial" w:cs="Arial"/>
          <w:lang w:val="en"/>
        </w:rPr>
      </w:pPr>
      <w:r>
        <w:rPr>
          <w:rStyle w:val="Emphasis"/>
          <w:rFonts w:ascii="Arial" w:hAnsi="Arial" w:cs="Arial"/>
          <w:i w:val="0"/>
          <w:iCs w:val="0"/>
          <w:lang w:val="en"/>
        </w:rPr>
        <w:tab/>
      </w:r>
      <w:r>
        <w:rPr>
          <w:rFonts w:ascii="Arial" w:hAnsi="Arial" w:cs="Arial"/>
          <w:lang w:val="en"/>
        </w:rPr>
        <w:t>See spreadsheet.</w:t>
      </w:r>
    </w:p>
    <w:p w14:paraId="65203378" w14:textId="5997E8B4"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8. The dollar amount of 'total management fees and costs paid' for each individual partnership. </w:t>
      </w:r>
      <w:r w:rsidR="00905D9B">
        <w:rPr>
          <w:rStyle w:val="Emphasis"/>
          <w:rFonts w:ascii="Arial" w:hAnsi="Arial" w:cs="Arial"/>
          <w:i w:val="0"/>
          <w:iCs w:val="0"/>
          <w:lang w:val="en"/>
        </w:rPr>
        <w:t>No direct fees are paid to any of these funds.  All costs are deducted from the funds.</w:t>
      </w:r>
    </w:p>
    <w:p w14:paraId="2796DAC9" w14:textId="77777777" w:rsidR="00B0593B" w:rsidRDefault="00B0593B" w:rsidP="00B0593B">
      <w:pPr>
        <w:ind w:firstLine="720"/>
        <w:rPr>
          <w:rFonts w:ascii="Arial" w:hAnsi="Arial" w:cs="Arial"/>
          <w:lang w:val="en"/>
        </w:rPr>
      </w:pPr>
      <w:r>
        <w:rPr>
          <w:rFonts w:ascii="Arial" w:hAnsi="Arial" w:cs="Arial"/>
          <w:i/>
          <w:iCs/>
          <w:lang w:val="en"/>
        </w:rPr>
        <w:tab/>
      </w:r>
      <w:r>
        <w:rPr>
          <w:rFonts w:ascii="Arial" w:hAnsi="Arial" w:cs="Arial"/>
          <w:lang w:val="en"/>
        </w:rPr>
        <w:t>See spreadsheet.</w:t>
      </w:r>
    </w:p>
    <w:p w14:paraId="45E011D4" w14:textId="6FA7A905"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9. Date as of which all the above data was calculated. </w:t>
      </w:r>
    </w:p>
    <w:p w14:paraId="105FF3C7" w14:textId="77777777" w:rsidR="00B0593B" w:rsidRDefault="00B0593B" w:rsidP="00B0593B">
      <w:pPr>
        <w:ind w:firstLine="720"/>
        <w:rPr>
          <w:rFonts w:ascii="Arial" w:hAnsi="Arial" w:cs="Arial"/>
          <w:lang w:val="en"/>
        </w:rPr>
      </w:pPr>
      <w:r>
        <w:rPr>
          <w:rStyle w:val="Emphasis"/>
          <w:rFonts w:ascii="Arial" w:hAnsi="Arial" w:cs="Arial"/>
          <w:i w:val="0"/>
          <w:iCs w:val="0"/>
          <w:lang w:val="en"/>
        </w:rPr>
        <w:tab/>
      </w:r>
      <w:r>
        <w:rPr>
          <w:rFonts w:ascii="Arial" w:hAnsi="Arial" w:cs="Arial"/>
          <w:lang w:val="en"/>
        </w:rPr>
        <w:t>See spreadsheet.</w:t>
      </w:r>
    </w:p>
    <w:p w14:paraId="103D9A29" w14:textId="4B4225C5"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10. Names of all alternative asset partnerships partially and fully sold by The London Borough of Barnet Pension Fund, including date of sale.</w:t>
      </w:r>
    </w:p>
    <w:p w14:paraId="43AFE204" w14:textId="35B60E32" w:rsidR="00B0593B" w:rsidRDefault="00B0593B" w:rsidP="00013218">
      <w:pPr>
        <w:rPr>
          <w:rStyle w:val="Emphasis"/>
          <w:rFonts w:ascii="Arial" w:hAnsi="Arial" w:cs="Arial"/>
          <w:i w:val="0"/>
          <w:iCs w:val="0"/>
          <w:lang w:val="en"/>
        </w:rPr>
      </w:pPr>
      <w:r>
        <w:rPr>
          <w:rStyle w:val="Emphasis"/>
          <w:rFonts w:ascii="Arial" w:hAnsi="Arial" w:cs="Arial"/>
          <w:i w:val="0"/>
          <w:iCs w:val="0"/>
          <w:lang w:val="en"/>
        </w:rPr>
        <w:tab/>
      </w:r>
      <w:r>
        <w:rPr>
          <w:rStyle w:val="Emphasis"/>
          <w:rFonts w:ascii="Arial" w:hAnsi="Arial" w:cs="Arial"/>
          <w:i w:val="0"/>
          <w:iCs w:val="0"/>
          <w:lang w:val="en"/>
        </w:rPr>
        <w:tab/>
        <w:t>None fully sold and all partial sales detailed on spreadsheet</w:t>
      </w:r>
    </w:p>
    <w:p w14:paraId="5D47595D" w14:textId="331622A9" w:rsidR="00013218" w:rsidRDefault="00013218" w:rsidP="00013218">
      <w:pPr>
        <w:rPr>
          <w:rStyle w:val="Emphasis"/>
          <w:rFonts w:ascii="Arial" w:hAnsi="Arial" w:cs="Arial"/>
          <w:i w:val="0"/>
          <w:iCs w:val="0"/>
          <w:lang w:val="en"/>
        </w:rPr>
      </w:pPr>
      <w:r w:rsidRPr="00013218">
        <w:rPr>
          <w:rStyle w:val="Emphasis"/>
          <w:rFonts w:ascii="Arial" w:hAnsi="Arial" w:cs="Arial"/>
          <w:i w:val="0"/>
          <w:iCs w:val="0"/>
          <w:lang w:val="en"/>
        </w:rPr>
        <w:t xml:space="preserve"> </w:t>
      </w:r>
      <w:r w:rsidRPr="00013218">
        <w:rPr>
          <w:rFonts w:ascii="Arial" w:hAnsi="Arial" w:cs="Arial"/>
          <w:i/>
          <w:iCs/>
          <w:lang w:val="en"/>
        </w:rPr>
        <w:br/>
      </w:r>
      <w:r w:rsidRPr="00013218">
        <w:rPr>
          <w:rStyle w:val="Emphasis"/>
          <w:rFonts w:ascii="Arial" w:hAnsi="Arial" w:cs="Arial"/>
          <w:i w:val="0"/>
          <w:iCs w:val="0"/>
          <w:lang w:val="en"/>
        </w:rPr>
        <w:t xml:space="preserve">11. For each fund, please indicate whether or not the fund uses Subscription Credit Facilities. </w:t>
      </w:r>
    </w:p>
    <w:p w14:paraId="733C7699" w14:textId="479B5189" w:rsidR="00013218" w:rsidRDefault="00B0593B" w:rsidP="00013218">
      <w:pPr>
        <w:rPr>
          <w:rStyle w:val="Emphasis"/>
          <w:rFonts w:ascii="Arial" w:hAnsi="Arial" w:cs="Arial"/>
          <w:i w:val="0"/>
          <w:iCs w:val="0"/>
          <w:lang w:val="en"/>
        </w:rPr>
      </w:pPr>
      <w:r>
        <w:rPr>
          <w:rStyle w:val="Emphasis"/>
          <w:rFonts w:ascii="Arial" w:hAnsi="Arial" w:cs="Arial"/>
          <w:i w:val="0"/>
          <w:iCs w:val="0"/>
          <w:lang w:val="en"/>
        </w:rPr>
        <w:tab/>
      </w:r>
      <w:r>
        <w:rPr>
          <w:rStyle w:val="Emphasis"/>
          <w:rFonts w:ascii="Arial" w:hAnsi="Arial" w:cs="Arial"/>
          <w:i w:val="0"/>
          <w:iCs w:val="0"/>
          <w:lang w:val="en"/>
        </w:rPr>
        <w:tab/>
        <w:t>No use made of Subscription Facilities</w:t>
      </w:r>
    </w:p>
    <w:p w14:paraId="48036E14" w14:textId="77777777" w:rsidR="00B0593B" w:rsidRDefault="00B0593B" w:rsidP="00013218">
      <w:pPr>
        <w:rPr>
          <w:rStyle w:val="Emphasis"/>
          <w:rFonts w:ascii="Arial" w:hAnsi="Arial" w:cs="Arial"/>
          <w:i w:val="0"/>
          <w:iCs w:val="0"/>
          <w:lang w:val="en"/>
        </w:rPr>
      </w:pPr>
    </w:p>
    <w:p w14:paraId="70E63341" w14:textId="57B113CF" w:rsidR="00013218" w:rsidRDefault="00013218" w:rsidP="00013218">
      <w:pPr>
        <w:rPr>
          <w:rStyle w:val="Emphasis"/>
          <w:rFonts w:ascii="Arial" w:hAnsi="Arial" w:cs="Arial"/>
          <w:i w:val="0"/>
          <w:iCs w:val="0"/>
          <w:lang w:val="en"/>
        </w:rPr>
      </w:pPr>
      <w:r w:rsidRPr="00013218">
        <w:rPr>
          <w:rStyle w:val="Emphasis"/>
          <w:rFonts w:ascii="Arial" w:hAnsi="Arial" w:cs="Arial"/>
          <w:i w:val="0"/>
          <w:iCs w:val="0"/>
          <w:lang w:val="en"/>
        </w:rPr>
        <w:t xml:space="preserve">12. Names of all hedge fund holdings (including hedge fund of funds) in </w:t>
      </w:r>
      <w:r w:rsidR="004B4C28">
        <w:rPr>
          <w:rStyle w:val="Emphasis"/>
          <w:rFonts w:ascii="Arial" w:hAnsi="Arial" w:cs="Arial"/>
          <w:i w:val="0"/>
          <w:iCs w:val="0"/>
          <w:lang w:val="en"/>
        </w:rPr>
        <w:t>t</w:t>
      </w:r>
      <w:r w:rsidRPr="00013218">
        <w:rPr>
          <w:rStyle w:val="Emphasis"/>
          <w:rFonts w:ascii="Arial" w:hAnsi="Arial" w:cs="Arial"/>
          <w:i w:val="0"/>
          <w:iCs w:val="0"/>
          <w:lang w:val="en"/>
        </w:rPr>
        <w:t xml:space="preserve">he Fund's portfolio. </w:t>
      </w:r>
    </w:p>
    <w:p w14:paraId="3F109555" w14:textId="43F22D71" w:rsidR="00B0593B" w:rsidRDefault="00B0593B" w:rsidP="00013218">
      <w:pPr>
        <w:rPr>
          <w:rStyle w:val="Emphasis"/>
          <w:rFonts w:ascii="Arial" w:hAnsi="Arial" w:cs="Arial"/>
          <w:i w:val="0"/>
          <w:iCs w:val="0"/>
          <w:lang w:val="en"/>
        </w:rPr>
      </w:pPr>
      <w:r>
        <w:rPr>
          <w:rStyle w:val="Emphasis"/>
          <w:rFonts w:ascii="Arial" w:hAnsi="Arial" w:cs="Arial"/>
          <w:i w:val="0"/>
          <w:iCs w:val="0"/>
          <w:lang w:val="en"/>
        </w:rPr>
        <w:tab/>
      </w:r>
      <w:r>
        <w:rPr>
          <w:rStyle w:val="Emphasis"/>
          <w:rFonts w:ascii="Arial" w:hAnsi="Arial" w:cs="Arial"/>
          <w:i w:val="0"/>
          <w:iCs w:val="0"/>
          <w:lang w:val="en"/>
        </w:rPr>
        <w:tab/>
        <w:t>The Fund has not invested in Hedge Funds</w:t>
      </w:r>
    </w:p>
    <w:p w14:paraId="752FF6B5" w14:textId="04A0D730"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13. Month by Month Market Value for each hedge fund holding (including hedge fund of funds) since </w:t>
      </w:r>
      <w:r w:rsidR="004B4C28">
        <w:rPr>
          <w:rStyle w:val="Emphasis"/>
          <w:rFonts w:ascii="Arial" w:hAnsi="Arial" w:cs="Arial"/>
          <w:i w:val="0"/>
          <w:iCs w:val="0"/>
          <w:lang w:val="en"/>
        </w:rPr>
        <w:t>t</w:t>
      </w:r>
      <w:r w:rsidRPr="00013218">
        <w:rPr>
          <w:rStyle w:val="Emphasis"/>
          <w:rFonts w:ascii="Arial" w:hAnsi="Arial" w:cs="Arial"/>
          <w:i w:val="0"/>
          <w:iCs w:val="0"/>
          <w:lang w:val="en"/>
        </w:rPr>
        <w:t>he Fund's initial investment</w:t>
      </w:r>
      <w:r w:rsidR="004B4C28">
        <w:rPr>
          <w:rStyle w:val="Emphasis"/>
          <w:rFonts w:ascii="Arial" w:hAnsi="Arial" w:cs="Arial"/>
          <w:i w:val="0"/>
          <w:iCs w:val="0"/>
          <w:lang w:val="en"/>
        </w:rPr>
        <w:t>s.</w:t>
      </w:r>
    </w:p>
    <w:p w14:paraId="18037A05" w14:textId="5611BD91" w:rsidR="00B0593B" w:rsidRDefault="00B0593B" w:rsidP="00013218">
      <w:pPr>
        <w:rPr>
          <w:rStyle w:val="Emphasis"/>
          <w:rFonts w:ascii="Arial" w:hAnsi="Arial" w:cs="Arial"/>
          <w:i w:val="0"/>
          <w:iCs w:val="0"/>
          <w:lang w:val="en"/>
        </w:rPr>
      </w:pPr>
      <w:r>
        <w:rPr>
          <w:rStyle w:val="Emphasis"/>
          <w:rFonts w:ascii="Arial" w:hAnsi="Arial" w:cs="Arial"/>
          <w:i w:val="0"/>
          <w:iCs w:val="0"/>
          <w:lang w:val="en"/>
        </w:rPr>
        <w:tab/>
      </w:r>
      <w:r>
        <w:rPr>
          <w:rStyle w:val="Emphasis"/>
          <w:rFonts w:ascii="Arial" w:hAnsi="Arial" w:cs="Arial"/>
          <w:i w:val="0"/>
          <w:iCs w:val="0"/>
          <w:lang w:val="en"/>
        </w:rPr>
        <w:tab/>
        <w:t>N/A</w:t>
      </w:r>
    </w:p>
    <w:p w14:paraId="625D150F" w14:textId="164F5EC4" w:rsidR="00013218" w:rsidRDefault="00013218" w:rsidP="00013218">
      <w:pPr>
        <w:rPr>
          <w:rStyle w:val="Emphasis"/>
          <w:rFonts w:ascii="Arial" w:hAnsi="Arial" w:cs="Arial"/>
          <w:i w:val="0"/>
          <w:iCs w:val="0"/>
          <w:lang w:val="en"/>
        </w:rPr>
      </w:pPr>
      <w:r w:rsidRPr="00013218">
        <w:rPr>
          <w:rStyle w:val="Emphasis"/>
          <w:rFonts w:ascii="Arial" w:hAnsi="Arial" w:cs="Arial"/>
          <w:i w:val="0"/>
          <w:iCs w:val="0"/>
          <w:lang w:val="en"/>
        </w:rPr>
        <w:t xml:space="preserve"> </w:t>
      </w:r>
      <w:r w:rsidRPr="00013218">
        <w:rPr>
          <w:rFonts w:ascii="Arial" w:hAnsi="Arial" w:cs="Arial"/>
          <w:i/>
          <w:iCs/>
          <w:lang w:val="en"/>
        </w:rPr>
        <w:br/>
      </w:r>
      <w:r w:rsidRPr="00013218">
        <w:rPr>
          <w:rStyle w:val="Emphasis"/>
          <w:rFonts w:ascii="Arial" w:hAnsi="Arial" w:cs="Arial"/>
          <w:i w:val="0"/>
          <w:iCs w:val="0"/>
          <w:lang w:val="en"/>
        </w:rPr>
        <w:t xml:space="preserve">14. Month by Month Contributions to each hedge fund holding (including hedge fund of funds) since </w:t>
      </w:r>
      <w:r w:rsidR="004B4C28">
        <w:rPr>
          <w:rStyle w:val="Emphasis"/>
          <w:rFonts w:ascii="Arial" w:hAnsi="Arial" w:cs="Arial"/>
          <w:i w:val="0"/>
          <w:iCs w:val="0"/>
          <w:lang w:val="en"/>
        </w:rPr>
        <w:t>t</w:t>
      </w:r>
      <w:r w:rsidRPr="00013218">
        <w:rPr>
          <w:rStyle w:val="Emphasis"/>
          <w:rFonts w:ascii="Arial" w:hAnsi="Arial" w:cs="Arial"/>
          <w:i w:val="0"/>
          <w:iCs w:val="0"/>
          <w:lang w:val="en"/>
        </w:rPr>
        <w:t>he Fund's initial investment</w:t>
      </w:r>
      <w:r w:rsidR="004B4C28">
        <w:rPr>
          <w:rStyle w:val="Emphasis"/>
          <w:rFonts w:ascii="Arial" w:hAnsi="Arial" w:cs="Arial"/>
          <w:i w:val="0"/>
          <w:iCs w:val="0"/>
          <w:lang w:val="en"/>
        </w:rPr>
        <w:t>s</w:t>
      </w:r>
      <w:r w:rsidRPr="00013218">
        <w:rPr>
          <w:rStyle w:val="Emphasis"/>
          <w:rFonts w:ascii="Arial" w:hAnsi="Arial" w:cs="Arial"/>
          <w:i w:val="0"/>
          <w:iCs w:val="0"/>
          <w:lang w:val="en"/>
        </w:rPr>
        <w:t>.</w:t>
      </w:r>
    </w:p>
    <w:p w14:paraId="241AE84C" w14:textId="460067DC" w:rsidR="004B4C28" w:rsidRDefault="004B4C28" w:rsidP="00013218">
      <w:pPr>
        <w:rPr>
          <w:rStyle w:val="Emphasis"/>
          <w:rFonts w:ascii="Arial" w:hAnsi="Arial" w:cs="Arial"/>
          <w:i w:val="0"/>
          <w:iCs w:val="0"/>
          <w:lang w:val="en"/>
        </w:rPr>
      </w:pPr>
      <w:r>
        <w:rPr>
          <w:rStyle w:val="Emphasis"/>
          <w:rFonts w:ascii="Arial" w:hAnsi="Arial" w:cs="Arial"/>
          <w:i w:val="0"/>
          <w:iCs w:val="0"/>
          <w:lang w:val="en"/>
        </w:rPr>
        <w:tab/>
      </w:r>
      <w:r w:rsidR="00013218" w:rsidRPr="00013218">
        <w:rPr>
          <w:rStyle w:val="Emphasis"/>
          <w:rFonts w:ascii="Arial" w:hAnsi="Arial" w:cs="Arial"/>
          <w:i w:val="0"/>
          <w:iCs w:val="0"/>
          <w:lang w:val="en"/>
        </w:rPr>
        <w:t xml:space="preserve"> </w:t>
      </w:r>
      <w:r>
        <w:rPr>
          <w:rStyle w:val="Emphasis"/>
          <w:rFonts w:ascii="Arial" w:hAnsi="Arial" w:cs="Arial"/>
          <w:i w:val="0"/>
          <w:iCs w:val="0"/>
          <w:lang w:val="en"/>
        </w:rPr>
        <w:tab/>
        <w:t>N/A</w:t>
      </w:r>
    </w:p>
    <w:p w14:paraId="4C171819" w14:textId="0BB95C7F" w:rsidR="00013218" w:rsidRDefault="00013218" w:rsidP="00013218">
      <w:pPr>
        <w:rPr>
          <w:rStyle w:val="Emphasis"/>
          <w:rFonts w:ascii="Arial" w:hAnsi="Arial" w:cs="Arial"/>
          <w:i w:val="0"/>
          <w:iCs w:val="0"/>
          <w:lang w:val="en"/>
        </w:rPr>
      </w:pPr>
      <w:r w:rsidRPr="00013218">
        <w:rPr>
          <w:rFonts w:ascii="Arial" w:hAnsi="Arial" w:cs="Arial"/>
          <w:i/>
          <w:iCs/>
          <w:lang w:val="en"/>
        </w:rPr>
        <w:lastRenderedPageBreak/>
        <w:br/>
      </w:r>
      <w:r w:rsidRPr="00013218">
        <w:rPr>
          <w:rStyle w:val="Emphasis"/>
          <w:rFonts w:ascii="Arial" w:hAnsi="Arial" w:cs="Arial"/>
          <w:i w:val="0"/>
          <w:iCs w:val="0"/>
          <w:lang w:val="en"/>
        </w:rPr>
        <w:t>15. Month by Month Returns (net of fees) earned by The London Borough of Barnet Pension Fund for each hedge fund holding (including hedge fund of funds) since initial investment</w:t>
      </w:r>
      <w:r w:rsidR="004B4C28">
        <w:rPr>
          <w:rStyle w:val="Emphasis"/>
          <w:rFonts w:ascii="Arial" w:hAnsi="Arial" w:cs="Arial"/>
          <w:i w:val="0"/>
          <w:iCs w:val="0"/>
          <w:lang w:val="en"/>
        </w:rPr>
        <w:t>.</w:t>
      </w:r>
    </w:p>
    <w:p w14:paraId="62CF1AE8" w14:textId="711CC1E8" w:rsidR="004B4C28" w:rsidRDefault="004B4C28" w:rsidP="00013218">
      <w:pPr>
        <w:rPr>
          <w:rStyle w:val="Emphasis"/>
          <w:rFonts w:ascii="Arial" w:hAnsi="Arial" w:cs="Arial"/>
          <w:i w:val="0"/>
          <w:iCs w:val="0"/>
          <w:lang w:val="en"/>
        </w:rPr>
      </w:pPr>
      <w:r>
        <w:rPr>
          <w:rStyle w:val="Emphasis"/>
          <w:rFonts w:ascii="Arial" w:hAnsi="Arial" w:cs="Arial"/>
          <w:i w:val="0"/>
          <w:iCs w:val="0"/>
          <w:lang w:val="en"/>
        </w:rPr>
        <w:tab/>
      </w:r>
      <w:r>
        <w:rPr>
          <w:rStyle w:val="Emphasis"/>
          <w:rFonts w:ascii="Arial" w:hAnsi="Arial" w:cs="Arial"/>
          <w:i w:val="0"/>
          <w:iCs w:val="0"/>
          <w:lang w:val="en"/>
        </w:rPr>
        <w:tab/>
        <w:t>N/A</w:t>
      </w:r>
    </w:p>
    <w:p w14:paraId="1953A2E7" w14:textId="6300E308" w:rsidR="00013218" w:rsidRDefault="00013218" w:rsidP="00013218">
      <w:pPr>
        <w:rPr>
          <w:rStyle w:val="Emphasis"/>
          <w:rFonts w:ascii="Arial" w:hAnsi="Arial" w:cs="Arial"/>
          <w:i w:val="0"/>
          <w:iCs w:val="0"/>
          <w:lang w:val="en"/>
        </w:rPr>
      </w:pPr>
      <w:r w:rsidRPr="00013218">
        <w:rPr>
          <w:rStyle w:val="Emphasis"/>
          <w:rFonts w:ascii="Arial" w:hAnsi="Arial" w:cs="Arial"/>
          <w:i w:val="0"/>
          <w:iCs w:val="0"/>
          <w:lang w:val="en"/>
        </w:rPr>
        <w:t xml:space="preserve">. </w:t>
      </w:r>
      <w:r w:rsidRPr="00013218">
        <w:rPr>
          <w:rFonts w:ascii="Arial" w:hAnsi="Arial" w:cs="Arial"/>
          <w:i/>
          <w:iCs/>
          <w:lang w:val="en"/>
        </w:rPr>
        <w:br/>
      </w:r>
      <w:r w:rsidRPr="00013218">
        <w:rPr>
          <w:rStyle w:val="Emphasis"/>
          <w:rFonts w:ascii="Arial" w:hAnsi="Arial" w:cs="Arial"/>
          <w:i w:val="0"/>
          <w:iCs w:val="0"/>
          <w:lang w:val="en"/>
        </w:rPr>
        <w:t xml:space="preserve">16. Investment memorandum used by the Fund investment committee and investment consultants providing consultation to the Fund regarding private equity, venture capital, mezzanine, distressed, real estate/REIT, debt and infrastructure partnerships being considered for investment by the Fund portfolio. </w:t>
      </w:r>
    </w:p>
    <w:p w14:paraId="34129295" w14:textId="0F943653" w:rsidR="004B4C28" w:rsidRDefault="004B4C28" w:rsidP="00013218">
      <w:pPr>
        <w:rPr>
          <w:rStyle w:val="Emphasis"/>
          <w:rFonts w:ascii="Arial" w:hAnsi="Arial" w:cs="Arial"/>
          <w:i w:val="0"/>
          <w:iCs w:val="0"/>
          <w:lang w:val="en"/>
        </w:rPr>
      </w:pPr>
      <w:r>
        <w:rPr>
          <w:rStyle w:val="Emphasis"/>
          <w:rFonts w:ascii="Arial" w:hAnsi="Arial" w:cs="Arial"/>
          <w:i w:val="0"/>
          <w:iCs w:val="0"/>
          <w:lang w:val="en"/>
        </w:rPr>
        <w:tab/>
        <w:t>All such documents are covered by confidentially provisions.</w:t>
      </w:r>
    </w:p>
    <w:p w14:paraId="7FF2BABB" w14:textId="3A79EF3C" w:rsid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 xml:space="preserve">17. All due diligence materials and presentation materials produced by the General Partners in the course of the Fund conducting due diligence on investments into any private equity, venture capital, mezzanine, distressed, real estate/REIT, debt and infrastructure partnerships. </w:t>
      </w:r>
    </w:p>
    <w:p w14:paraId="1FA6AFCF" w14:textId="7B1572FE" w:rsidR="004B4C28" w:rsidRDefault="004B4C28" w:rsidP="00013218">
      <w:pPr>
        <w:rPr>
          <w:rStyle w:val="Emphasis"/>
          <w:rFonts w:ascii="Arial" w:hAnsi="Arial" w:cs="Arial"/>
          <w:i w:val="0"/>
          <w:iCs w:val="0"/>
          <w:lang w:val="en"/>
        </w:rPr>
      </w:pPr>
      <w:r>
        <w:rPr>
          <w:rStyle w:val="Emphasis"/>
          <w:rFonts w:ascii="Arial" w:hAnsi="Arial" w:cs="Arial"/>
          <w:i w:val="0"/>
          <w:iCs w:val="0"/>
          <w:lang w:val="en"/>
        </w:rPr>
        <w:tab/>
      </w:r>
      <w:r>
        <w:rPr>
          <w:rStyle w:val="Emphasis"/>
          <w:rFonts w:ascii="Arial" w:hAnsi="Arial" w:cs="Arial"/>
          <w:i w:val="0"/>
          <w:lang w:val="en"/>
        </w:rPr>
        <w:t>No such materials are retained</w:t>
      </w:r>
    </w:p>
    <w:p w14:paraId="2CC8FBBC" w14:textId="389D2720" w:rsidR="00013218" w:rsidRPr="00013218" w:rsidRDefault="00013218" w:rsidP="00013218">
      <w:pPr>
        <w:rPr>
          <w:rStyle w:val="Emphasis"/>
          <w:rFonts w:ascii="Arial" w:hAnsi="Arial" w:cs="Arial"/>
          <w:i w:val="0"/>
          <w:iCs w:val="0"/>
          <w:lang w:val="en"/>
        </w:rPr>
      </w:pPr>
      <w:r w:rsidRPr="00013218">
        <w:rPr>
          <w:rFonts w:ascii="Arial" w:hAnsi="Arial" w:cs="Arial"/>
          <w:i/>
          <w:iCs/>
          <w:lang w:val="en"/>
        </w:rPr>
        <w:br/>
      </w:r>
      <w:r w:rsidRPr="00013218">
        <w:rPr>
          <w:rStyle w:val="Emphasis"/>
          <w:rFonts w:ascii="Arial" w:hAnsi="Arial" w:cs="Arial"/>
          <w:i w:val="0"/>
          <w:iCs w:val="0"/>
          <w:lang w:val="en"/>
        </w:rPr>
        <w:t>18. For each fund, please indicate whether or not the fund uses Subscription Credit Facilities.</w:t>
      </w:r>
    </w:p>
    <w:p w14:paraId="30925C8E" w14:textId="76143209" w:rsidR="004B4C28" w:rsidRDefault="004B4C28" w:rsidP="004B4C28">
      <w:pPr>
        <w:ind w:left="567" w:hanging="567"/>
        <w:rPr>
          <w:rStyle w:val="Emphasis"/>
          <w:rFonts w:ascii="Arial" w:hAnsi="Arial" w:cs="Arial"/>
          <w:i w:val="0"/>
          <w:lang w:val="en"/>
        </w:rPr>
      </w:pPr>
      <w:r>
        <w:rPr>
          <w:rStyle w:val="Emphasis"/>
          <w:rFonts w:ascii="Arial" w:hAnsi="Arial" w:cs="Arial"/>
          <w:b/>
          <w:i w:val="0"/>
          <w:lang w:val="en"/>
        </w:rPr>
        <w:tab/>
      </w:r>
      <w:r w:rsidR="006170E1">
        <w:rPr>
          <w:rStyle w:val="Emphasis"/>
          <w:rFonts w:ascii="Arial" w:hAnsi="Arial" w:cs="Arial"/>
          <w:b/>
          <w:i w:val="0"/>
          <w:lang w:val="en"/>
        </w:rPr>
        <w:tab/>
      </w:r>
      <w:r>
        <w:rPr>
          <w:rStyle w:val="Emphasis"/>
          <w:rFonts w:ascii="Arial" w:hAnsi="Arial" w:cs="Arial"/>
          <w:i w:val="0"/>
          <w:lang w:val="en"/>
        </w:rPr>
        <w:t>No use is made of subscription credit facilities</w:t>
      </w:r>
    </w:p>
    <w:p w14:paraId="73DC0B3B" w14:textId="2B7CC675" w:rsidR="00013218" w:rsidRPr="006170E1" w:rsidRDefault="006170E1" w:rsidP="00013218">
      <w:pPr>
        <w:rPr>
          <w:rStyle w:val="Emphasis"/>
          <w:rFonts w:ascii="Arial" w:hAnsi="Arial" w:cs="Arial"/>
          <w:bCs/>
          <w:i w:val="0"/>
          <w:lang w:val="en"/>
        </w:rPr>
      </w:pPr>
      <w:r>
        <w:rPr>
          <w:rStyle w:val="Emphasis"/>
          <w:rFonts w:ascii="Arial" w:hAnsi="Arial" w:cs="Arial"/>
          <w:bCs/>
          <w:i w:val="0"/>
          <w:lang w:val="en"/>
        </w:rPr>
        <w:t>19. Current investment values and allocations for the Fund</w:t>
      </w:r>
    </w:p>
    <w:p w14:paraId="79E2C94C" w14:textId="4457F38E" w:rsidR="004B4C28" w:rsidRDefault="006170E1" w:rsidP="009C0579">
      <w:pPr>
        <w:ind w:left="720"/>
        <w:rPr>
          <w:rStyle w:val="Emphasis"/>
          <w:rFonts w:ascii="Arial" w:hAnsi="Arial" w:cs="Arial"/>
          <w:bCs/>
          <w:i w:val="0"/>
          <w:lang w:val="en"/>
        </w:rPr>
      </w:pPr>
      <w:r w:rsidRPr="006170E1">
        <w:rPr>
          <w:rStyle w:val="Emphasis"/>
          <w:rFonts w:ascii="Arial" w:hAnsi="Arial" w:cs="Arial"/>
          <w:bCs/>
          <w:i w:val="0"/>
          <w:lang w:val="en"/>
        </w:rPr>
        <w:t xml:space="preserve">See </w:t>
      </w:r>
      <w:r w:rsidR="009C0579">
        <w:rPr>
          <w:rStyle w:val="Emphasis"/>
          <w:rFonts w:ascii="Arial" w:hAnsi="Arial" w:cs="Arial"/>
          <w:bCs/>
          <w:i w:val="0"/>
          <w:lang w:val="en"/>
        </w:rPr>
        <w:t>Quarterly investment monitoring report prepared by the Fund’s investment Advisor.</w:t>
      </w:r>
    </w:p>
    <w:p w14:paraId="225AC447" w14:textId="77777777" w:rsidR="009C0579" w:rsidRPr="006170E1" w:rsidRDefault="009C0579" w:rsidP="00013218">
      <w:pPr>
        <w:rPr>
          <w:rStyle w:val="Emphasis"/>
          <w:rFonts w:ascii="Arial" w:hAnsi="Arial" w:cs="Arial"/>
          <w:bCs/>
          <w:i w:val="0"/>
          <w:lang w:val="en"/>
        </w:rPr>
      </w:pPr>
    </w:p>
    <w:p w14:paraId="595B5CCF" w14:textId="73D36CC2" w:rsidR="00013218" w:rsidRPr="00013218" w:rsidRDefault="00013218" w:rsidP="00CD13F7">
      <w:pPr>
        <w:jc w:val="both"/>
        <w:rPr>
          <w:rStyle w:val="Emphasis"/>
          <w:rFonts w:ascii="Arial" w:hAnsi="Arial" w:cs="Arial"/>
          <w:b/>
          <w:bCs/>
          <w:i w:val="0"/>
          <w:lang w:val="en"/>
        </w:rPr>
      </w:pPr>
      <w:r w:rsidRPr="00013218">
        <w:rPr>
          <w:rStyle w:val="Emphasis"/>
          <w:rFonts w:ascii="Arial" w:hAnsi="Arial" w:cs="Arial"/>
          <w:b/>
          <w:bCs/>
          <w:i w:val="0"/>
          <w:lang w:val="en"/>
        </w:rPr>
        <w:t>Reasons for FoI Ex</w:t>
      </w:r>
      <w:r w:rsidR="00873894">
        <w:rPr>
          <w:rStyle w:val="Emphasis"/>
          <w:rFonts w:ascii="Arial" w:hAnsi="Arial" w:cs="Arial"/>
          <w:b/>
          <w:bCs/>
          <w:i w:val="0"/>
          <w:lang w:val="en"/>
        </w:rPr>
        <w:t>em</w:t>
      </w:r>
      <w:r w:rsidRPr="00013218">
        <w:rPr>
          <w:rStyle w:val="Emphasis"/>
          <w:rFonts w:ascii="Arial" w:hAnsi="Arial" w:cs="Arial"/>
          <w:b/>
          <w:bCs/>
          <w:i w:val="0"/>
          <w:lang w:val="en"/>
        </w:rPr>
        <w:t>ptions</w:t>
      </w:r>
    </w:p>
    <w:p w14:paraId="1E1B662A" w14:textId="77777777" w:rsidR="00CD13F7" w:rsidRPr="00090AD3" w:rsidRDefault="00CD13F7" w:rsidP="00CD13F7">
      <w:pPr>
        <w:spacing w:after="0" w:line="240" w:lineRule="auto"/>
        <w:rPr>
          <w:rFonts w:ascii="Arial" w:eastAsia="Calibri" w:hAnsi="Arial" w:cs="Arial"/>
          <w:iCs/>
          <w:lang w:val="en" w:eastAsia="en-GB"/>
        </w:rPr>
      </w:pPr>
      <w:r w:rsidRPr="00090AD3">
        <w:rPr>
          <w:rFonts w:ascii="Arial" w:eastAsia="Calibri" w:hAnsi="Arial" w:cs="Arial"/>
          <w:iCs/>
          <w:lang w:val="en" w:eastAsia="en-GB"/>
        </w:rPr>
        <w:t xml:space="preserve">In respect of Partners Group, the manager has requested that all information provided to LB Barnet remain confidential under the following FOIA </w:t>
      </w:r>
      <w:r w:rsidRPr="00090AD3">
        <w:rPr>
          <w:rFonts w:ascii="Arial" w:eastAsia="Calibri" w:hAnsi="Arial" w:cs="Arial"/>
          <w:lang w:val="en-US" w:eastAsia="en-GB"/>
        </w:rPr>
        <w:t>exceptions:</w:t>
      </w:r>
    </w:p>
    <w:p w14:paraId="1C2B1667" w14:textId="77777777" w:rsidR="00CD13F7" w:rsidRPr="00090AD3" w:rsidRDefault="00CD13F7" w:rsidP="00CD13F7">
      <w:pPr>
        <w:spacing w:after="0" w:line="240" w:lineRule="auto"/>
        <w:rPr>
          <w:rFonts w:ascii="Calibri" w:eastAsia="Calibri" w:hAnsi="Calibri" w:cs="Calibri"/>
          <w:lang w:eastAsia="en-GB"/>
        </w:rPr>
      </w:pPr>
      <w:r w:rsidRPr="00090AD3">
        <w:rPr>
          <w:rFonts w:ascii="Arial" w:eastAsia="Calibri" w:hAnsi="Arial" w:cs="Arial"/>
          <w:lang w:val="en-US" w:eastAsia="en-GB"/>
        </w:rPr>
        <w:t> </w:t>
      </w:r>
    </w:p>
    <w:p w14:paraId="3C072949" w14:textId="77777777" w:rsidR="00CD13F7" w:rsidRPr="00090AD3" w:rsidRDefault="00CD13F7" w:rsidP="00CD13F7">
      <w:pPr>
        <w:numPr>
          <w:ilvl w:val="0"/>
          <w:numId w:val="2"/>
        </w:numPr>
        <w:spacing w:after="0" w:line="240" w:lineRule="auto"/>
        <w:ind w:left="567" w:hanging="567"/>
        <w:rPr>
          <w:rFonts w:ascii="Calibri" w:eastAsia="Calibri" w:hAnsi="Calibri" w:cs="Calibri"/>
          <w:lang w:eastAsia="en-GB"/>
        </w:rPr>
      </w:pPr>
      <w:r w:rsidRPr="00090AD3">
        <w:rPr>
          <w:rFonts w:ascii="Arial" w:eastAsia="Calibri" w:hAnsi="Arial" w:cs="Arial"/>
          <w:u w:val="single"/>
          <w:lang w:eastAsia="en-GB"/>
        </w:rPr>
        <w:t>Section 41 of the Act</w:t>
      </w:r>
      <w:r w:rsidRPr="00090AD3">
        <w:rPr>
          <w:rFonts w:ascii="Arial" w:eastAsia="Calibri" w:hAnsi="Arial" w:cs="Arial"/>
          <w:lang w:eastAsia="en-GB"/>
        </w:rPr>
        <w:t>, which provides an absolute exemption from disclosure for information that is provided to a public authority in confidence.</w:t>
      </w:r>
    </w:p>
    <w:p w14:paraId="79C7B460" w14:textId="77777777" w:rsidR="00CD13F7" w:rsidRPr="00090AD3" w:rsidRDefault="00CD13F7" w:rsidP="00CD13F7">
      <w:pPr>
        <w:spacing w:after="0" w:line="240" w:lineRule="auto"/>
        <w:ind w:left="567" w:hanging="567"/>
        <w:rPr>
          <w:rFonts w:ascii="Calibri" w:eastAsia="Calibri" w:hAnsi="Calibri" w:cs="Calibri"/>
          <w:lang w:eastAsia="en-GB"/>
        </w:rPr>
      </w:pPr>
      <w:r w:rsidRPr="00090AD3">
        <w:rPr>
          <w:rFonts w:ascii="Arial" w:eastAsia="Calibri" w:hAnsi="Arial" w:cs="Arial"/>
          <w:lang w:eastAsia="en-GB"/>
        </w:rPr>
        <w:t> </w:t>
      </w:r>
    </w:p>
    <w:p w14:paraId="7D5FC56D" w14:textId="77777777" w:rsidR="00CD13F7" w:rsidRPr="00090AD3" w:rsidRDefault="00CD13F7" w:rsidP="00CD13F7">
      <w:pPr>
        <w:spacing w:after="0" w:line="240" w:lineRule="auto"/>
        <w:ind w:left="567"/>
        <w:rPr>
          <w:rFonts w:ascii="Calibri" w:eastAsia="Calibri" w:hAnsi="Calibri" w:cs="Calibri"/>
          <w:lang w:eastAsia="en-GB"/>
        </w:rPr>
      </w:pPr>
      <w:r w:rsidRPr="00090AD3">
        <w:rPr>
          <w:rFonts w:ascii="Arial" w:eastAsia="Calibri" w:hAnsi="Arial" w:cs="Arial"/>
          <w:lang w:eastAsia="en-GB"/>
        </w:rPr>
        <w:t xml:space="preserve">In order for this exemption to apply: (i) the information must have been obtained by the public authority from another person; and (ii) disclosure of the information would give rise to an actionable breach of confidence.  </w:t>
      </w:r>
    </w:p>
    <w:p w14:paraId="5E25DEDB" w14:textId="77777777" w:rsidR="00CD13F7" w:rsidRPr="00090AD3" w:rsidRDefault="00CD13F7" w:rsidP="00CD13F7">
      <w:pPr>
        <w:spacing w:after="0" w:line="240" w:lineRule="auto"/>
        <w:ind w:left="567" w:hanging="567"/>
        <w:rPr>
          <w:rFonts w:ascii="Calibri" w:eastAsia="Calibri" w:hAnsi="Calibri" w:cs="Calibri"/>
          <w:lang w:eastAsia="en-GB"/>
        </w:rPr>
      </w:pPr>
      <w:r w:rsidRPr="00090AD3">
        <w:rPr>
          <w:rFonts w:ascii="Arial" w:eastAsia="Calibri" w:hAnsi="Arial" w:cs="Arial"/>
          <w:lang w:eastAsia="en-GB"/>
        </w:rPr>
        <w:t> </w:t>
      </w:r>
    </w:p>
    <w:p w14:paraId="6DE365ED" w14:textId="77777777" w:rsidR="00CD13F7" w:rsidRPr="00090AD3" w:rsidRDefault="00CD13F7" w:rsidP="00CD13F7">
      <w:pPr>
        <w:spacing w:after="0" w:line="240" w:lineRule="auto"/>
        <w:ind w:left="567"/>
        <w:rPr>
          <w:rFonts w:ascii="Calibri" w:eastAsia="Calibri" w:hAnsi="Calibri" w:cs="Calibri"/>
          <w:lang w:eastAsia="en-GB"/>
        </w:rPr>
      </w:pPr>
      <w:r w:rsidRPr="00090AD3">
        <w:rPr>
          <w:rFonts w:ascii="Arial" w:eastAsia="Calibri" w:hAnsi="Arial" w:cs="Arial"/>
          <w:lang w:eastAsia="en-GB"/>
        </w:rPr>
        <w:t xml:space="preserve">All information relating to Partners Group and Partners Group funds supplied by us to London Borough of Barnet (LBB) is provided under clear conditions and obligations of confidentiality. As this information is not readily available by other means, breach of these confidentiality obligations would certainly be actionable. It should also be noted that pursuant to the limited partnership agreement, LBB owes duties of confidentiality to the other investors in PG Private Markets Credit Strategies 2 S.A. Compartment Multi Asset Credit 2017 (IV) GBP and </w:t>
      </w:r>
    </w:p>
    <w:p w14:paraId="47CA244B" w14:textId="77777777" w:rsidR="00CD13F7" w:rsidRPr="00090AD3" w:rsidRDefault="00CD13F7" w:rsidP="00CD13F7">
      <w:pPr>
        <w:spacing w:after="0" w:line="240" w:lineRule="auto"/>
        <w:ind w:left="567"/>
        <w:rPr>
          <w:rFonts w:ascii="Calibri" w:eastAsia="Calibri" w:hAnsi="Calibri" w:cs="Calibri"/>
          <w:lang w:eastAsia="en-GB"/>
        </w:rPr>
      </w:pPr>
      <w:r w:rsidRPr="00090AD3">
        <w:rPr>
          <w:rFonts w:ascii="Arial" w:eastAsia="Calibri" w:hAnsi="Arial" w:cs="Arial"/>
          <w:lang w:eastAsia="en-GB"/>
        </w:rPr>
        <w:t>PG Private Markets Credit Strategies S.A. Compartment Multi Asset Credit 2015 (II) GBP, as well as to Partners Group itself.</w:t>
      </w:r>
    </w:p>
    <w:p w14:paraId="30DF1A01" w14:textId="77777777" w:rsidR="00CD13F7" w:rsidRPr="00090AD3" w:rsidRDefault="00CD13F7" w:rsidP="00CD13F7">
      <w:pPr>
        <w:spacing w:after="0" w:line="240" w:lineRule="auto"/>
        <w:ind w:left="567" w:hanging="567"/>
        <w:rPr>
          <w:rFonts w:ascii="Calibri" w:eastAsia="Calibri" w:hAnsi="Calibri" w:cs="Calibri"/>
          <w:lang w:eastAsia="en-GB"/>
        </w:rPr>
      </w:pPr>
      <w:r w:rsidRPr="00090AD3">
        <w:rPr>
          <w:rFonts w:ascii="Arial" w:eastAsia="Calibri" w:hAnsi="Arial" w:cs="Arial"/>
          <w:lang w:val="en-US" w:eastAsia="en-GB"/>
        </w:rPr>
        <w:t> </w:t>
      </w:r>
    </w:p>
    <w:p w14:paraId="79F55A26" w14:textId="77777777" w:rsidR="00CD13F7" w:rsidRPr="00090AD3" w:rsidRDefault="00CD13F7" w:rsidP="00CD13F7">
      <w:pPr>
        <w:numPr>
          <w:ilvl w:val="0"/>
          <w:numId w:val="2"/>
        </w:numPr>
        <w:spacing w:after="0" w:line="240" w:lineRule="auto"/>
        <w:ind w:left="567" w:hanging="567"/>
        <w:rPr>
          <w:rFonts w:ascii="Calibri" w:eastAsia="Calibri" w:hAnsi="Calibri" w:cs="Calibri"/>
          <w:lang w:eastAsia="en-GB"/>
        </w:rPr>
      </w:pPr>
      <w:r w:rsidRPr="00090AD3">
        <w:rPr>
          <w:rFonts w:ascii="Arial" w:eastAsia="Calibri" w:hAnsi="Arial" w:cs="Arial"/>
          <w:u w:val="single"/>
          <w:lang w:eastAsia="en-GB"/>
        </w:rPr>
        <w:lastRenderedPageBreak/>
        <w:t>Section 43 of the Act</w:t>
      </w:r>
      <w:r w:rsidRPr="00090AD3">
        <w:rPr>
          <w:rFonts w:ascii="Arial" w:eastAsia="Calibri" w:hAnsi="Arial" w:cs="Arial"/>
          <w:lang w:eastAsia="en-GB"/>
        </w:rPr>
        <w:t xml:space="preserve">, which provides a qualified exemption from disclosure if such disclosure would, or would be likely to, prejudice the commercial interests of any person. </w:t>
      </w:r>
    </w:p>
    <w:p w14:paraId="54905013" w14:textId="77777777" w:rsidR="00CD13F7" w:rsidRPr="00090AD3" w:rsidRDefault="00CD13F7" w:rsidP="00CD13F7">
      <w:pPr>
        <w:spacing w:after="0" w:line="240" w:lineRule="auto"/>
        <w:ind w:left="567" w:hanging="567"/>
        <w:rPr>
          <w:rFonts w:ascii="Calibri" w:eastAsia="Calibri" w:hAnsi="Calibri" w:cs="Calibri"/>
          <w:lang w:eastAsia="en-GB"/>
        </w:rPr>
      </w:pPr>
      <w:r w:rsidRPr="00090AD3">
        <w:rPr>
          <w:rFonts w:ascii="Arial" w:eastAsia="Calibri" w:hAnsi="Arial" w:cs="Arial"/>
          <w:lang w:eastAsia="en-GB"/>
        </w:rPr>
        <w:t> </w:t>
      </w:r>
    </w:p>
    <w:p w14:paraId="3F5CD4E0" w14:textId="77777777" w:rsidR="00CD13F7" w:rsidRPr="00090AD3" w:rsidRDefault="00CD13F7" w:rsidP="00CD13F7">
      <w:pPr>
        <w:spacing w:after="0" w:line="240" w:lineRule="auto"/>
        <w:ind w:left="567"/>
        <w:rPr>
          <w:rFonts w:ascii="Calibri" w:eastAsia="Calibri" w:hAnsi="Calibri" w:cs="Calibri"/>
          <w:lang w:eastAsia="en-GB"/>
        </w:rPr>
      </w:pPr>
      <w:r w:rsidRPr="00090AD3">
        <w:rPr>
          <w:rFonts w:ascii="Arial" w:eastAsia="Calibri" w:hAnsi="Arial" w:cs="Arial"/>
          <w:lang w:eastAsia="en-GB"/>
        </w:rPr>
        <w:t xml:space="preserve">As LBB will appreciate, the documentation agreed between Partners Group and LBB is commercially sensitive and confidential. The terms of fund documentation is a key consideration for investors when determining whether or not to invest with Partners Group and disclosure of the specific terms of the documentation which underlies PG Private Markets Credit Strategies 2 S.A. Compartment Multi Asset Credit 2017 (IV) GBP and PG Private Markets Credit Strategies S.A. Compartment Multi Asset Credit 2015 (II) GBP </w:t>
      </w:r>
      <w:r w:rsidRPr="00090AD3">
        <w:rPr>
          <w:rFonts w:ascii="Arial" w:eastAsia="Calibri" w:hAnsi="Arial" w:cs="Arial"/>
          <w:lang w:val="en-US" w:eastAsia="en-GB"/>
        </w:rPr>
        <w:t xml:space="preserve">are likely to have a prejudicial effect both on Partners Group and potentially the other investors in </w:t>
      </w:r>
      <w:r w:rsidRPr="00090AD3">
        <w:rPr>
          <w:rFonts w:ascii="Arial" w:eastAsia="Calibri" w:hAnsi="Arial" w:cs="Arial"/>
          <w:lang w:eastAsia="en-GB"/>
        </w:rPr>
        <w:t>PG Private Markets Credit Strategies 2 S.A. Compartment Multi Asset Credit 2017 (IV) GBP and PG Private Markets Credit Strategies S.A. Compartment Multi Asset Credit 2015 (II) GBP. In particular, we would like to emphasise the potentially severe detrimental impact that disclosure and dissemination of the commercially sensitive information (such as hurdle rates and fee bases) may have on our business. This is a particular concern in this circumstance, where it is certainly possible that the information will be disseminated to our competitors, who would then be able to use this information to the disadvantage of Partners Group, resulting in serious prejudice to Partners Group’s business.  </w:t>
      </w:r>
    </w:p>
    <w:p w14:paraId="675F6565" w14:textId="77777777" w:rsidR="00CD13F7" w:rsidRPr="00090AD3" w:rsidRDefault="00CD13F7" w:rsidP="00CD13F7">
      <w:pPr>
        <w:spacing w:after="0" w:line="240" w:lineRule="auto"/>
        <w:ind w:left="567" w:hanging="567"/>
        <w:rPr>
          <w:rFonts w:ascii="Calibri" w:eastAsia="Calibri" w:hAnsi="Calibri" w:cs="Calibri"/>
          <w:lang w:eastAsia="en-GB"/>
        </w:rPr>
      </w:pPr>
      <w:r w:rsidRPr="00090AD3">
        <w:rPr>
          <w:rFonts w:ascii="Arial" w:eastAsia="Calibri" w:hAnsi="Arial" w:cs="Arial"/>
          <w:lang w:eastAsia="en-GB"/>
        </w:rPr>
        <w:t> </w:t>
      </w:r>
    </w:p>
    <w:p w14:paraId="51C1D398" w14:textId="77777777" w:rsidR="00CD13F7" w:rsidRPr="00090AD3" w:rsidRDefault="00CD13F7" w:rsidP="00CD13F7">
      <w:pPr>
        <w:spacing w:after="0" w:line="240" w:lineRule="auto"/>
        <w:ind w:left="567"/>
        <w:rPr>
          <w:rFonts w:ascii="Calibri" w:eastAsia="Calibri" w:hAnsi="Calibri" w:cs="Calibri"/>
          <w:lang w:eastAsia="en-GB"/>
        </w:rPr>
      </w:pPr>
      <w:r w:rsidRPr="00090AD3">
        <w:rPr>
          <w:rFonts w:ascii="Arial" w:eastAsia="Calibri" w:hAnsi="Arial" w:cs="Arial"/>
          <w:lang w:eastAsia="en-GB"/>
        </w:rPr>
        <w:t>As mentioned above, the Section 43 exemption is a qualified exemption; the duty to disclose continues unless, in all the circumstances, the public interest in maintaining the exemption outweighs the public interest in disclosing the information. In light of the severity of the potential prejudice and absence of legitimate public interest, the public interest test cannot qualify the Section 43 exemption in this circumstance. Further, as LBB may also be prejudiced, whether by the possibility that LBB will be restricted in making future investment in Partners Group investment funds or the possibility that in the future LBB may only receive restricted information about Partners Group funds and so be unable to effectively monitor its investments, neither of which can be in the public interest, any public interest argument is further undermined.  </w:t>
      </w:r>
    </w:p>
    <w:p w14:paraId="13DF4A62" w14:textId="77777777" w:rsidR="00CD13F7" w:rsidRPr="00090AD3" w:rsidRDefault="00CD13F7" w:rsidP="00CD13F7">
      <w:pPr>
        <w:spacing w:after="0" w:line="240" w:lineRule="auto"/>
        <w:ind w:left="567" w:hanging="567"/>
        <w:rPr>
          <w:rFonts w:ascii="Calibri" w:eastAsia="Calibri" w:hAnsi="Calibri" w:cs="Calibri"/>
          <w:lang w:eastAsia="en-GB"/>
        </w:rPr>
      </w:pPr>
      <w:r w:rsidRPr="00090AD3">
        <w:rPr>
          <w:rFonts w:ascii="Arial" w:eastAsia="Calibri" w:hAnsi="Arial" w:cs="Arial"/>
          <w:lang w:eastAsia="en-GB"/>
        </w:rPr>
        <w:t> </w:t>
      </w:r>
    </w:p>
    <w:p w14:paraId="7835551C" w14:textId="77777777" w:rsidR="00CD13F7" w:rsidRPr="00090AD3" w:rsidRDefault="00CD13F7" w:rsidP="00CD13F7">
      <w:pPr>
        <w:spacing w:after="0" w:line="240" w:lineRule="auto"/>
        <w:ind w:left="567"/>
        <w:rPr>
          <w:rFonts w:ascii="Calibri" w:eastAsia="Calibri" w:hAnsi="Calibri" w:cs="Calibri"/>
          <w:lang w:eastAsia="en-GB"/>
        </w:rPr>
      </w:pPr>
      <w:r w:rsidRPr="00090AD3">
        <w:rPr>
          <w:rFonts w:ascii="Arial" w:eastAsia="Calibri" w:hAnsi="Arial" w:cs="Arial"/>
          <w:lang w:eastAsia="en-GB"/>
        </w:rPr>
        <w:t>We therefore consider that Sections 41 and 43 apply to exempt the above information requested.</w:t>
      </w:r>
    </w:p>
    <w:p w14:paraId="310F0643" w14:textId="12148F88" w:rsidR="00CD13F7" w:rsidRDefault="00CD13F7" w:rsidP="004463A5">
      <w:pPr>
        <w:rPr>
          <w:rStyle w:val="Emphasis"/>
          <w:rFonts w:ascii="Arial" w:hAnsi="Arial" w:cs="Arial"/>
          <w:i w:val="0"/>
          <w:lang w:val="en"/>
        </w:rPr>
      </w:pPr>
    </w:p>
    <w:p w14:paraId="4ABC7EF1" w14:textId="08E13158" w:rsidR="007553E2" w:rsidRPr="0040169F" w:rsidRDefault="007553E2" w:rsidP="007553E2">
      <w:pPr>
        <w:rPr>
          <w:bCs/>
          <w:sz w:val="28"/>
          <w:szCs w:val="28"/>
        </w:rPr>
      </w:pPr>
      <w:r>
        <w:rPr>
          <w:b/>
          <w:bCs/>
          <w:sz w:val="28"/>
          <w:szCs w:val="28"/>
        </w:rPr>
        <w:t>END</w:t>
      </w:r>
    </w:p>
    <w:p w14:paraId="3C5EB48C" w14:textId="77777777" w:rsidR="007553E2" w:rsidRPr="005D3E77" w:rsidRDefault="007553E2">
      <w:pPr>
        <w:rPr>
          <w:rFonts w:ascii="Arial" w:hAnsi="Arial" w:cs="Arial"/>
          <w:i/>
          <w:iCs/>
          <w:lang w:val="en"/>
        </w:rPr>
      </w:pPr>
    </w:p>
    <w:sectPr w:rsidR="007553E2" w:rsidRPr="005D3E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EC09" w14:textId="77777777" w:rsidR="00631DC2" w:rsidRDefault="00631DC2" w:rsidP="00B14E74">
      <w:pPr>
        <w:spacing w:after="0" w:line="240" w:lineRule="auto"/>
      </w:pPr>
      <w:r>
        <w:separator/>
      </w:r>
    </w:p>
  </w:endnote>
  <w:endnote w:type="continuationSeparator" w:id="0">
    <w:p w14:paraId="0F16596F" w14:textId="77777777" w:rsidR="00631DC2" w:rsidRDefault="00631DC2" w:rsidP="00B1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5459" w14:textId="77777777" w:rsidR="00631DC2" w:rsidRDefault="00631DC2" w:rsidP="00B14E74">
      <w:pPr>
        <w:spacing w:after="0" w:line="240" w:lineRule="auto"/>
      </w:pPr>
      <w:r>
        <w:separator/>
      </w:r>
    </w:p>
  </w:footnote>
  <w:footnote w:type="continuationSeparator" w:id="0">
    <w:p w14:paraId="56F444CE" w14:textId="77777777" w:rsidR="00631DC2" w:rsidRDefault="00631DC2" w:rsidP="00B1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F7B97"/>
    <w:multiLevelType w:val="hybridMultilevel"/>
    <w:tmpl w:val="290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36BB7"/>
    <w:multiLevelType w:val="hybridMultilevel"/>
    <w:tmpl w:val="FF561DC4"/>
    <w:lvl w:ilvl="0" w:tplc="B0A4F9C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5313C"/>
    <w:multiLevelType w:val="hybridMultilevel"/>
    <w:tmpl w:val="22207E2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69440930">
    <w:abstractNumId w:val="1"/>
  </w:num>
  <w:num w:numId="2" w16cid:durableId="1768235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8390375">
    <w:abstractNumId w:val="2"/>
  </w:num>
  <w:num w:numId="4" w16cid:durableId="201525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6A"/>
    <w:rsid w:val="00000AA5"/>
    <w:rsid w:val="00013218"/>
    <w:rsid w:val="00082E4D"/>
    <w:rsid w:val="000A31A6"/>
    <w:rsid w:val="000C5514"/>
    <w:rsid w:val="001474B4"/>
    <w:rsid w:val="001B4FC8"/>
    <w:rsid w:val="001F197B"/>
    <w:rsid w:val="00223B4A"/>
    <w:rsid w:val="00246F49"/>
    <w:rsid w:val="00263008"/>
    <w:rsid w:val="00330A6A"/>
    <w:rsid w:val="004463A5"/>
    <w:rsid w:val="004B4C28"/>
    <w:rsid w:val="005258CF"/>
    <w:rsid w:val="00547FE4"/>
    <w:rsid w:val="005D3E77"/>
    <w:rsid w:val="005F2EBF"/>
    <w:rsid w:val="006170E1"/>
    <w:rsid w:val="00631DC2"/>
    <w:rsid w:val="00653127"/>
    <w:rsid w:val="006872F1"/>
    <w:rsid w:val="006B5A07"/>
    <w:rsid w:val="006B7348"/>
    <w:rsid w:val="00751041"/>
    <w:rsid w:val="007553E2"/>
    <w:rsid w:val="00783690"/>
    <w:rsid w:val="00784CA7"/>
    <w:rsid w:val="00873894"/>
    <w:rsid w:val="008B4CE8"/>
    <w:rsid w:val="008C5AE2"/>
    <w:rsid w:val="008D4378"/>
    <w:rsid w:val="00905D9B"/>
    <w:rsid w:val="00946966"/>
    <w:rsid w:val="009935E6"/>
    <w:rsid w:val="009C0579"/>
    <w:rsid w:val="009C0A25"/>
    <w:rsid w:val="009F07DF"/>
    <w:rsid w:val="00A067C1"/>
    <w:rsid w:val="00B00779"/>
    <w:rsid w:val="00B011F5"/>
    <w:rsid w:val="00B0593B"/>
    <w:rsid w:val="00B14E74"/>
    <w:rsid w:val="00B571B8"/>
    <w:rsid w:val="00B83109"/>
    <w:rsid w:val="00BE1B30"/>
    <w:rsid w:val="00C5707C"/>
    <w:rsid w:val="00CD13F7"/>
    <w:rsid w:val="00D706FD"/>
    <w:rsid w:val="00E2524D"/>
    <w:rsid w:val="00F9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635F"/>
  <w15:chartTrackingRefBased/>
  <w15:docId w15:val="{6D846608-8EFB-48A7-B2E1-CFDEF97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72F1"/>
    <w:rPr>
      <w:i/>
      <w:iCs/>
    </w:rPr>
  </w:style>
  <w:style w:type="paragraph" w:styleId="ListParagraph">
    <w:name w:val="List Paragraph"/>
    <w:basedOn w:val="Normal"/>
    <w:uiPriority w:val="34"/>
    <w:qFormat/>
    <w:rsid w:val="004463A5"/>
    <w:pPr>
      <w:ind w:left="720"/>
      <w:contextualSpacing/>
    </w:pPr>
  </w:style>
  <w:style w:type="paragraph" w:styleId="NoSpacing">
    <w:name w:val="No Spacing"/>
    <w:uiPriority w:val="1"/>
    <w:qFormat/>
    <w:rsid w:val="007553E2"/>
    <w:pPr>
      <w:spacing w:after="0" w:line="240" w:lineRule="auto"/>
    </w:pPr>
  </w:style>
  <w:style w:type="paragraph" w:styleId="Header">
    <w:name w:val="header"/>
    <w:basedOn w:val="Normal"/>
    <w:link w:val="HeaderChar"/>
    <w:uiPriority w:val="99"/>
    <w:unhideWhenUsed/>
    <w:rsid w:val="00B14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74"/>
  </w:style>
  <w:style w:type="paragraph" w:styleId="Footer">
    <w:name w:val="footer"/>
    <w:basedOn w:val="Normal"/>
    <w:link w:val="FooterChar"/>
    <w:uiPriority w:val="99"/>
    <w:unhideWhenUsed/>
    <w:rsid w:val="00B14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9443">
      <w:bodyDiv w:val="1"/>
      <w:marLeft w:val="0"/>
      <w:marRight w:val="0"/>
      <w:marTop w:val="0"/>
      <w:marBottom w:val="0"/>
      <w:divBdr>
        <w:top w:val="none" w:sz="0" w:space="0" w:color="auto"/>
        <w:left w:val="none" w:sz="0" w:space="0" w:color="auto"/>
        <w:bottom w:val="none" w:sz="0" w:space="0" w:color="auto"/>
        <w:right w:val="none" w:sz="0" w:space="0" w:color="auto"/>
      </w:divBdr>
    </w:div>
    <w:div w:id="12619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Patsalides, George</dc:creator>
  <cp:keywords/>
  <dc:description/>
  <cp:lastModifiedBy>Khan, Nadeem</cp:lastModifiedBy>
  <cp:revision>5</cp:revision>
  <dcterms:created xsi:type="dcterms:W3CDTF">2023-06-05T09:51:00Z</dcterms:created>
  <dcterms:modified xsi:type="dcterms:W3CDTF">2023-06-05T09:52:00Z</dcterms:modified>
</cp:coreProperties>
</file>